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51" w:rsidRDefault="001D5351" w:rsidP="0072235B">
      <w:pPr>
        <w:jc w:val="center"/>
        <w:rPr>
          <w:rFonts w:ascii="IBM Plex Sans" w:hAnsi="IBM Plex Sans"/>
          <w:b/>
          <w:sz w:val="28"/>
          <w:szCs w:val="28"/>
        </w:rPr>
      </w:pPr>
      <w:bookmarkStart w:id="0" w:name="_GoBack"/>
      <w:bookmarkEnd w:id="0"/>
      <w:r>
        <w:rPr>
          <w:rFonts w:ascii="IBM Plex Sans" w:hAnsi="IBM Plex San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-370840</wp:posOffset>
            </wp:positionV>
            <wp:extent cx="2278380" cy="1133475"/>
            <wp:effectExtent l="0" t="0" r="762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351" w:rsidRDefault="001D5351" w:rsidP="0072235B">
      <w:pPr>
        <w:jc w:val="center"/>
        <w:rPr>
          <w:rFonts w:ascii="IBM Plex Sans" w:hAnsi="IBM Plex Sans"/>
          <w:b/>
          <w:sz w:val="28"/>
          <w:szCs w:val="28"/>
        </w:rPr>
      </w:pPr>
    </w:p>
    <w:p w:rsidR="001D5351" w:rsidRDefault="001D5351" w:rsidP="0072235B">
      <w:pPr>
        <w:jc w:val="center"/>
        <w:rPr>
          <w:rFonts w:ascii="IBM Plex Sans" w:hAnsi="IBM Plex Sans"/>
          <w:b/>
          <w:sz w:val="28"/>
          <w:szCs w:val="28"/>
        </w:rPr>
      </w:pPr>
    </w:p>
    <w:p w:rsidR="001D5351" w:rsidRDefault="001D5351" w:rsidP="0072235B">
      <w:pPr>
        <w:jc w:val="center"/>
        <w:rPr>
          <w:rFonts w:ascii="IBM Plex Sans" w:hAnsi="IBM Plex Sans"/>
          <w:b/>
          <w:sz w:val="28"/>
          <w:szCs w:val="28"/>
        </w:rPr>
      </w:pPr>
    </w:p>
    <w:p w:rsidR="00E56FFA" w:rsidRPr="0072235B" w:rsidRDefault="0072235B" w:rsidP="0072235B">
      <w:pPr>
        <w:jc w:val="center"/>
        <w:rPr>
          <w:rFonts w:ascii="IBM Plex Sans" w:hAnsi="IBM Plex Sans"/>
          <w:b/>
          <w:sz w:val="28"/>
          <w:szCs w:val="28"/>
        </w:rPr>
      </w:pPr>
      <w:r w:rsidRPr="0072235B">
        <w:rPr>
          <w:rFonts w:ascii="IBM Plex Sans" w:hAnsi="IBM Plex Sans"/>
          <w:b/>
          <w:sz w:val="28"/>
          <w:szCs w:val="28"/>
        </w:rPr>
        <w:t xml:space="preserve">Anmeldung </w:t>
      </w:r>
    </w:p>
    <w:p w:rsidR="0072235B" w:rsidRDefault="0072235B">
      <w:pPr>
        <w:rPr>
          <w:rFonts w:ascii="IBM Plex Sans" w:hAnsi="IBM Plex Sans"/>
        </w:rPr>
      </w:pPr>
    </w:p>
    <w:p w:rsidR="0072235B" w:rsidRPr="0072235B" w:rsidRDefault="0072235B" w:rsidP="0072235B">
      <w:pPr>
        <w:jc w:val="center"/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  <w:szCs w:val="24"/>
        </w:rPr>
        <w:t xml:space="preserve">für die </w:t>
      </w:r>
      <w:r w:rsidRPr="0072235B">
        <w:rPr>
          <w:rFonts w:ascii="IBM Plex Sans" w:hAnsi="IBM Plex Sans"/>
          <w:b/>
          <w:sz w:val="24"/>
          <w:szCs w:val="24"/>
        </w:rPr>
        <w:t>Ausgabe von Sonderkost ab Schuljahr 2022/23</w:t>
      </w:r>
    </w:p>
    <w:p w:rsidR="0072235B" w:rsidRPr="0072235B" w:rsidRDefault="0072235B" w:rsidP="0072235B">
      <w:pPr>
        <w:jc w:val="center"/>
        <w:rPr>
          <w:rFonts w:ascii="IBM Plex Sans" w:hAnsi="IBM Plex Sans"/>
          <w:b/>
          <w:sz w:val="24"/>
          <w:szCs w:val="24"/>
        </w:rPr>
      </w:pPr>
      <w:r>
        <w:rPr>
          <w:rFonts w:ascii="IBM Plex Sans" w:hAnsi="IBM Plex Sans"/>
          <w:b/>
          <w:sz w:val="24"/>
          <w:szCs w:val="24"/>
        </w:rPr>
        <w:t>________</w:t>
      </w:r>
      <w:r w:rsidRPr="0072235B">
        <w:rPr>
          <w:rFonts w:ascii="IBM Plex Sans" w:hAnsi="IBM Plex Sans"/>
          <w:b/>
          <w:sz w:val="24"/>
          <w:szCs w:val="24"/>
        </w:rPr>
        <w:t>_______________________________________</w:t>
      </w:r>
    </w:p>
    <w:p w:rsidR="0072235B" w:rsidRPr="0072235B" w:rsidRDefault="0072235B" w:rsidP="0072235B">
      <w:pPr>
        <w:rPr>
          <w:rFonts w:ascii="IBM Plex Sans" w:hAnsi="IBM Plex Sans"/>
        </w:rPr>
      </w:pPr>
    </w:p>
    <w:p w:rsidR="0072235B" w:rsidRPr="0072235B" w:rsidRDefault="0072235B" w:rsidP="0072235B">
      <w:pPr>
        <w:rPr>
          <w:rFonts w:ascii="IBM Plex Sans" w:hAnsi="IBM Plex Sans"/>
        </w:rPr>
      </w:pPr>
      <w:r w:rsidRPr="0072235B">
        <w:rPr>
          <w:rFonts w:ascii="IBM Plex Sans" w:hAnsi="IBM Plex Sans"/>
        </w:rPr>
        <w:t xml:space="preserve">Liegt bei einer/m Schüler/in eine der folgenden Lebensmittelunverträglichkeiten vor, kann über die individuelle Einrichtung von Sonderkost im I-Net-Menü am Mittagstisch in der Mensa teilgenommen werden. </w:t>
      </w:r>
    </w:p>
    <w:p w:rsidR="0072235B" w:rsidRPr="0072235B" w:rsidRDefault="0072235B" w:rsidP="0072235B">
      <w:pPr>
        <w:rPr>
          <w:rFonts w:ascii="IBM Plex Sans" w:hAnsi="IBM Plex Sans"/>
        </w:rPr>
      </w:pPr>
    </w:p>
    <w:p w:rsidR="0072235B" w:rsidRPr="0072235B" w:rsidRDefault="0072235B" w:rsidP="0072235B">
      <w:pPr>
        <w:rPr>
          <w:rFonts w:ascii="IBM Plex Sans" w:hAnsi="IBM Plex Sans"/>
        </w:rPr>
      </w:pPr>
      <w:r w:rsidRPr="0072235B">
        <w:rPr>
          <w:rFonts w:ascii="IBM Plex Sans" w:hAnsi="IBM Plex Sans"/>
        </w:rPr>
        <w:t xml:space="preserve">Es wird Sonderkost bei </w:t>
      </w:r>
      <w:r w:rsidRPr="0072235B">
        <w:rPr>
          <w:rFonts w:ascii="IBM Plex Sans" w:hAnsi="IBM Plex Sans"/>
          <w:b/>
        </w:rPr>
        <w:t>Unverträglichkeit gegen Fructose, Laktose oder Gluten</w:t>
      </w:r>
      <w:r w:rsidRPr="0072235B">
        <w:rPr>
          <w:rFonts w:ascii="IBM Plex Sans" w:hAnsi="IBM Plex Sans"/>
        </w:rPr>
        <w:t xml:space="preserve"> angeboten. Ausdrücklich wird darauf hingewiesen, dass keine Sonderkosten bei Lebensmittelallergien oder Zöliakie berücksichtigt werden können.</w:t>
      </w:r>
    </w:p>
    <w:p w:rsidR="0072235B" w:rsidRPr="0072235B" w:rsidRDefault="0072235B" w:rsidP="0072235B">
      <w:pPr>
        <w:rPr>
          <w:rFonts w:ascii="IBM Plex Sans" w:hAnsi="IBM Plex Sans"/>
        </w:rPr>
      </w:pPr>
    </w:p>
    <w:p w:rsidR="0072235B" w:rsidRPr="0072235B" w:rsidRDefault="0072235B" w:rsidP="0072235B">
      <w:pPr>
        <w:rPr>
          <w:rFonts w:ascii="IBM Plex Sans" w:hAnsi="IBM Plex Sans"/>
          <w:u w:val="single"/>
        </w:rPr>
      </w:pPr>
    </w:p>
    <w:p w:rsidR="0072235B" w:rsidRPr="0072235B" w:rsidRDefault="0072235B" w:rsidP="009B1CCB">
      <w:pPr>
        <w:contextualSpacing/>
        <w:rPr>
          <w:rFonts w:ascii="IBM Plex Sans" w:hAnsi="IBM Plex Sans"/>
        </w:rPr>
      </w:pPr>
      <w:r w:rsidRPr="0072235B">
        <w:rPr>
          <w:rFonts w:ascii="IBM Plex Sans" w:hAnsi="IBM Plex Sans"/>
        </w:rPr>
        <w:t xml:space="preserve"> </w:t>
      </w:r>
    </w:p>
    <w:p w:rsidR="0072235B" w:rsidRDefault="0072235B">
      <w:pPr>
        <w:rPr>
          <w:rFonts w:ascii="IBM Plex Sans" w:hAnsi="IBM Plex Sans"/>
        </w:rPr>
      </w:pPr>
    </w:p>
    <w:p w:rsidR="0072235B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>________________________________________________________________________</w:t>
      </w:r>
    </w:p>
    <w:p w:rsidR="0072235B" w:rsidRDefault="0072235B">
      <w:pPr>
        <w:rPr>
          <w:rFonts w:ascii="IBM Plex Sans" w:hAnsi="IBM Plex Sans"/>
        </w:rPr>
      </w:pPr>
      <w:r>
        <w:rPr>
          <w:rFonts w:ascii="IBM Plex Sans" w:hAnsi="IBM Plex Sans"/>
        </w:rPr>
        <w:t>Vorname und Name Schüler/in</w:t>
      </w:r>
      <w:r w:rsidR="009B1CCB">
        <w:rPr>
          <w:rFonts w:ascii="IBM Plex Sans" w:hAnsi="IBM Plex Sans"/>
        </w:rPr>
        <w:t xml:space="preserve"> und Klasse</w:t>
      </w: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Mein Kind hat eine Unverträglichkeit gegen (bitte ankreuzen): </w:t>
      </w: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>Fructose ___</w:t>
      </w:r>
      <w:r>
        <w:rPr>
          <w:rFonts w:ascii="IBM Plex Sans" w:hAnsi="IBM Plex Sans"/>
        </w:rPr>
        <w:tab/>
      </w:r>
      <w:r>
        <w:rPr>
          <w:rFonts w:ascii="IBM Plex Sans" w:hAnsi="IBM Plex Sans"/>
        </w:rPr>
        <w:tab/>
      </w:r>
      <w:r>
        <w:rPr>
          <w:rFonts w:ascii="IBM Plex Sans" w:hAnsi="IBM Plex Sans"/>
        </w:rPr>
        <w:tab/>
        <w:t>Lactose ___</w:t>
      </w:r>
      <w:r>
        <w:rPr>
          <w:rFonts w:ascii="IBM Plex Sans" w:hAnsi="IBM Plex Sans"/>
        </w:rPr>
        <w:tab/>
      </w:r>
      <w:r>
        <w:rPr>
          <w:rFonts w:ascii="IBM Plex Sans" w:hAnsi="IBM Plex Sans"/>
        </w:rPr>
        <w:tab/>
      </w:r>
      <w:r>
        <w:rPr>
          <w:rFonts w:ascii="IBM Plex Sans" w:hAnsi="IBM Plex Sans"/>
        </w:rPr>
        <w:tab/>
        <w:t>Gluten ___</w:t>
      </w: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 xml:space="preserve">________________________________________________________________________Name der Eltern </w:t>
      </w:r>
    </w:p>
    <w:p w:rsidR="0072235B" w:rsidRDefault="0072235B">
      <w:pPr>
        <w:rPr>
          <w:rFonts w:ascii="IBM Plex Sans" w:hAnsi="IBM Plex Sans"/>
        </w:rPr>
      </w:pPr>
    </w:p>
    <w:p w:rsidR="0072235B" w:rsidRDefault="0072235B">
      <w:pPr>
        <w:rPr>
          <w:rFonts w:ascii="IBM Plex Sans" w:hAnsi="IBM Plex Sans"/>
        </w:rPr>
      </w:pPr>
    </w:p>
    <w:p w:rsidR="0072235B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>________________________________________________________________________</w:t>
      </w:r>
    </w:p>
    <w:p w:rsidR="009B1CCB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>Tagsüber erreichbar unter folgender Telefonnummer</w:t>
      </w: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</w:p>
    <w:p w:rsidR="009B1CCB" w:rsidRDefault="009B1CCB" w:rsidP="009B1CCB">
      <w:pPr>
        <w:contextualSpacing/>
        <w:rPr>
          <w:rFonts w:ascii="IBM Plex Sans" w:hAnsi="IBM Plex Sans"/>
        </w:rPr>
      </w:pPr>
      <w:r>
        <w:rPr>
          <w:rFonts w:ascii="IBM Plex Sans" w:hAnsi="IBM Plex Sans"/>
        </w:rPr>
        <w:t xml:space="preserve">Das </w:t>
      </w:r>
      <w:r w:rsidRPr="0072235B">
        <w:rPr>
          <w:rFonts w:ascii="IBM Plex Sans" w:hAnsi="IBM Plex Sans"/>
        </w:rPr>
        <w:t>ärztliche Attest über die</w:t>
      </w:r>
      <w:r>
        <w:rPr>
          <w:rFonts w:ascii="IBM Plex Sans" w:hAnsi="IBM Plex Sans"/>
        </w:rPr>
        <w:t xml:space="preserve"> Lebensmittelunverträglichkeit ist dieser Anmeldung beigefügt.</w:t>
      </w: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</w:p>
    <w:p w:rsidR="009B1CCB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>________________________________________________________________________</w:t>
      </w:r>
    </w:p>
    <w:p w:rsidR="009B1CCB" w:rsidRPr="005E1EBE" w:rsidRDefault="009B1CCB">
      <w:pPr>
        <w:rPr>
          <w:rFonts w:ascii="IBM Plex Sans" w:hAnsi="IBM Plex Sans"/>
        </w:rPr>
      </w:pPr>
      <w:r>
        <w:rPr>
          <w:rFonts w:ascii="IBM Plex Sans" w:hAnsi="IBM Plex Sans"/>
        </w:rPr>
        <w:t>Ort, Datum und Unterschrift der Eltern</w:t>
      </w:r>
    </w:p>
    <w:sectPr w:rsidR="009B1CCB" w:rsidRPr="005E1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orbel"/>
    <w:panose1 w:val="020B0604020202020204"/>
    <w:charset w:val="00"/>
    <w:family w:val="swiss"/>
    <w:pitch w:val="variable"/>
    <w:sig w:usb0="00000001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402"/>
    <w:multiLevelType w:val="hybridMultilevel"/>
    <w:tmpl w:val="CAC6A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5B"/>
    <w:rsid w:val="00101CB3"/>
    <w:rsid w:val="00103775"/>
    <w:rsid w:val="001D5351"/>
    <w:rsid w:val="00336425"/>
    <w:rsid w:val="005E1EBE"/>
    <w:rsid w:val="00693A93"/>
    <w:rsid w:val="0072235B"/>
    <w:rsid w:val="009B1CCB"/>
    <w:rsid w:val="00B52D2B"/>
    <w:rsid w:val="00D03502"/>
    <w:rsid w:val="00E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FCB8-A1FA-4FBE-88B9-4D241702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3502"/>
    <w:pPr>
      <w:spacing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93A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3A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3A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3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3A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3A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3A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3A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3A9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693A93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3A9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3A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3A9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3A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3A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3A9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3A93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3A93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3A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3A93"/>
    <w:rPr>
      <w:rFonts w:eastAsiaTheme="minorEastAsia"/>
      <w:color w:val="000000" w:themeColor="tex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693A9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3A9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693A93"/>
  </w:style>
  <w:style w:type="character" w:styleId="SchwacheHervorhebung">
    <w:name w:val="Subtle Emphasis"/>
    <w:basedOn w:val="Absatz-Standardschriftart"/>
    <w:uiPriority w:val="19"/>
    <w:qFormat/>
    <w:rsid w:val="00693A93"/>
    <w:rPr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693A93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693A93"/>
    <w:rPr>
      <w:i/>
      <w:i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693A93"/>
    <w:pPr>
      <w:spacing w:before="200"/>
      <w:ind w:left="864"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A9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93A93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A9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693A93"/>
    <w:rPr>
      <w:b/>
      <w:bCs/>
      <w:smallCaps/>
      <w:color w:val="000000" w:themeColor="tex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693A93"/>
    <w:rPr>
      <w:smallCaps/>
      <w:color w:val="000000" w:themeColor="text1"/>
    </w:rPr>
  </w:style>
  <w:style w:type="character" w:styleId="Buchtitel">
    <w:name w:val="Book Title"/>
    <w:basedOn w:val="Absatz-Standardschriftart"/>
    <w:uiPriority w:val="33"/>
    <w:qFormat/>
    <w:rsid w:val="00693A93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693A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Kornwesthei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3AF"/>
      </a:accent1>
      <a:accent2>
        <a:srgbClr val="FFCC00"/>
      </a:accent2>
      <a:accent3>
        <a:srgbClr val="A5A5A5"/>
      </a:accent3>
      <a:accent4>
        <a:srgbClr val="ED7D31"/>
      </a:accent4>
      <a:accent5>
        <a:srgbClr val="223C6C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66DB-78CC-3A4A-82B4-37B8109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Kornwestheim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Jung</dc:creator>
  <cp:keywords/>
  <dc:description/>
  <cp:lastModifiedBy>Julia Scheuer</cp:lastModifiedBy>
  <cp:revision>2</cp:revision>
  <cp:lastPrinted>2022-07-01T05:32:00Z</cp:lastPrinted>
  <dcterms:created xsi:type="dcterms:W3CDTF">2022-07-15T07:53:00Z</dcterms:created>
  <dcterms:modified xsi:type="dcterms:W3CDTF">2022-07-15T07:53:00Z</dcterms:modified>
</cp:coreProperties>
</file>